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Barangay Project Transparency Board</w:t>
      </w:r>
    </w:p>
    <w:p>
      <w:r>
        <w:t>Post this board in a conspicuous place (barangay hall, public market, chapel) and update it monthly. Fill every figure from an official document and name the document in the last column. Leave a cell blank rather than guessing.</w:t>
      </w:r>
    </w:p>
    <w:p>
      <w:pPr>
        <w:pStyle w:val="Heading2"/>
      </w:pPr>
      <w:r>
        <w:t>Barangay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Barangay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City / Municipality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Province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PSGC code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Period covered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Date posted / updated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Posted by (office)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Contact for questions</w:t>
            </w:r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2"/>
      </w:pPr>
      <w:r>
        <w:t>Projects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</w:tblGrid>
      <w:tr>
        <w:tc>
          <w:tcPr>
            <w:tcW w:type="dxa" w:w="785"/>
          </w:tcPr>
          <w:p>
            <w:r>
              <w:t>#</w:t>
            </w:r>
          </w:p>
        </w:tc>
        <w:tc>
          <w:tcPr>
            <w:tcW w:type="dxa" w:w="785"/>
          </w:tcPr>
          <w:p>
            <w:r>
              <w:t>Project / program</w:t>
            </w:r>
          </w:p>
        </w:tc>
        <w:tc>
          <w:tcPr>
            <w:tcW w:type="dxa" w:w="785"/>
          </w:tcPr>
          <w:p>
            <w:r>
              <w:t>Exact location (sitio/purok)</w:t>
            </w:r>
          </w:p>
        </w:tc>
        <w:tc>
          <w:tcPr>
            <w:tcW w:type="dxa" w:w="785"/>
          </w:tcPr>
          <w:p>
            <w:r>
              <w:t>Fund source (e.g. 20% NTA/DF, LGSF, DPWH)</w:t>
            </w:r>
          </w:p>
        </w:tc>
        <w:tc>
          <w:tcPr>
            <w:tcW w:type="dxa" w:w="785"/>
          </w:tcPr>
          <w:p>
            <w:r>
              <w:t>Approved budget (PHP)</w:t>
            </w:r>
          </w:p>
        </w:tc>
        <w:tc>
          <w:tcPr>
            <w:tcW w:type="dxa" w:w="785"/>
          </w:tcPr>
          <w:p>
            <w:r>
              <w:t>Contract amount (PHP)</w:t>
            </w:r>
          </w:p>
        </w:tc>
        <w:tc>
          <w:tcPr>
            <w:tcW w:type="dxa" w:w="785"/>
          </w:tcPr>
          <w:p>
            <w:r>
              <w:t>Contractor / implementer</w:t>
            </w:r>
          </w:p>
        </w:tc>
        <w:tc>
          <w:tcPr>
            <w:tcW w:type="dxa" w:w="785"/>
          </w:tcPr>
          <w:p>
            <w:r>
              <w:t>Start date</w:t>
            </w:r>
          </w:p>
        </w:tc>
        <w:tc>
          <w:tcPr>
            <w:tcW w:type="dxa" w:w="785"/>
          </w:tcPr>
          <w:p>
            <w:r>
              <w:t>Target completion</w:t>
            </w:r>
          </w:p>
        </w:tc>
        <w:tc>
          <w:tcPr>
            <w:tcW w:type="dxa" w:w="785"/>
          </w:tcPr>
          <w:p>
            <w:r>
              <w:t>Status / % done</w:t>
            </w:r>
          </w:p>
        </w:tc>
        <w:tc>
          <w:tcPr>
            <w:tcW w:type="dxa" w:w="785"/>
          </w:tcPr>
          <w:p>
            <w:r>
              <w:t>Source document (posted where?)</w:t>
            </w:r>
          </w:p>
        </w:tc>
      </w:tr>
      <w:tr>
        <w:tc>
          <w:tcPr>
            <w:tcW w:type="dxa" w:w="785"/>
          </w:tcPr>
          <w:p>
            <w:r>
              <w:t>1</w:t>
            </w:r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</w:tr>
      <w:tr>
        <w:tc>
          <w:tcPr>
            <w:tcW w:type="dxa" w:w="785"/>
          </w:tcPr>
          <w:p>
            <w:r>
              <w:t>2</w:t>
            </w:r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</w:tr>
      <w:tr>
        <w:tc>
          <w:tcPr>
            <w:tcW w:type="dxa" w:w="785"/>
          </w:tcPr>
          <w:p>
            <w:r>
              <w:t>3</w:t>
            </w:r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</w:tr>
      <w:tr>
        <w:tc>
          <w:tcPr>
            <w:tcW w:type="dxa" w:w="785"/>
          </w:tcPr>
          <w:p>
            <w:r>
              <w:t>4</w:t>
            </w:r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</w:tr>
      <w:tr>
        <w:tc>
          <w:tcPr>
            <w:tcW w:type="dxa" w:w="785"/>
          </w:tcPr>
          <w:p>
            <w:r>
              <w:t>5</w:t>
            </w:r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</w:tr>
      <w:tr>
        <w:tc>
          <w:tcPr>
            <w:tcW w:type="dxa" w:w="785"/>
          </w:tcPr>
          <w:p>
            <w:r>
              <w:t>6</w:t>
            </w:r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</w:tr>
      <w:tr>
        <w:tc>
          <w:tcPr>
            <w:tcW w:type="dxa" w:w="785"/>
          </w:tcPr>
          <w:p>
            <w:r>
              <w:t>7</w:t>
            </w:r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</w:tr>
      <w:tr>
        <w:tc>
          <w:tcPr>
            <w:tcW w:type="dxa" w:w="785"/>
          </w:tcPr>
          <w:p>
            <w:r>
              <w:t>8</w:t>
            </w:r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</w:tr>
      <w:tr>
        <w:tc>
          <w:tcPr>
            <w:tcW w:type="dxa" w:w="785"/>
          </w:tcPr>
          <w:p>
            <w:r>
              <w:t>9</w:t>
            </w:r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</w:tr>
      <w:tr>
        <w:tc>
          <w:tcPr>
            <w:tcW w:type="dxa" w:w="785"/>
          </w:tcPr>
          <w:p>
            <w:r>
              <w:t>10</w:t>
            </w:r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  <w:tc>
          <w:tcPr>
            <w:tcW w:type="dxa" w:w="785"/>
          </w:tcPr>
          <w:p>
            <w:r/>
          </w:p>
        </w:tc>
      </w:tr>
    </w:tbl>
    <w:p>
      <w:pPr>
        <w:pStyle w:val="Heading2"/>
      </w:pPr>
      <w:r>
        <w:t>Documents posted under the Barangay Full Disclosure Policy (tick when posted)</w:t>
      </w:r>
    </w:p>
    <w:p>
      <w:pPr>
        <w:pStyle w:val="ListBullet"/>
      </w:pPr>
      <w:r>
        <w:t>Barangay Budget (Annex 1)</w:t>
      </w:r>
    </w:p>
    <w:p>
      <w:pPr>
        <w:pStyle w:val="ListBullet"/>
      </w:pPr>
      <w:r>
        <w:t>Actual Income and Expenditure for the past year (Annex 2)</w:t>
      </w:r>
    </w:p>
    <w:p>
      <w:pPr>
        <w:pStyle w:val="ListBullet"/>
      </w:pPr>
      <w:r>
        <w:t>Priorities for Development Projects / 20% Component NTA Utilization (Annex 3)</w:t>
      </w:r>
    </w:p>
    <w:p>
      <w:pPr>
        <w:pStyle w:val="ListBullet"/>
      </w:pPr>
      <w:r>
        <w:t>Annual Procurement Plan (Annex 4)</w:t>
      </w:r>
    </w:p>
    <w:p>
      <w:pPr>
        <w:pStyle w:val="ListBullet"/>
      </w:pPr>
      <w:r>
        <w:t>List of Notices of Award (Annex 5)</w:t>
      </w:r>
    </w:p>
    <w:p>
      <w:pPr>
        <w:pStyle w:val="ListBullet"/>
      </w:pPr>
      <w:r>
        <w:t>Itemized Monthly Collection and Disbursement (Annex 6)</w:t>
      </w:r>
    </w:p>
    <w:p>
      <w:pPr>
        <w:pStyle w:val="ListBullet"/>
      </w:pPr>
      <w:r>
        <w:t>Barangay Financial Report (Annex 7)</w:t>
      </w:r>
    </w:p>
    <w:p>
      <w:pPr>
        <w:pStyle w:val="Heading2"/>
      </w:pPr>
      <w:r>
        <w:t>Right of reply</w:t>
      </w:r>
    </w:p>
    <w:p>
      <w:r>
        <w:t>Any official, contractor or resident who believes an entry is wrong may submit a correction with a supporting document to the barangay secretary. Corrections are posted beside the original entry within 7 days.</w:t>
      </w:r>
    </w:p>
    <w:p>
      <w:pPr>
        <w:pStyle w:val="Heading2"/>
      </w:pPr>
      <w:r>
        <w:t>Legal basis (verify the latest version)</w:t>
      </w:r>
    </w:p>
    <w:p>
      <w:pPr>
        <w:pStyle w:val="ListBullet"/>
      </w:pPr>
      <w:r>
        <w:t>Barangay Full Disclosure Policy (BFDP) annexes and Form A, DILG. https://milgresource.center/downloads/eo-templates/</w:t>
      </w:r>
    </w:p>
    <w:p>
      <w:pPr>
        <w:pStyle w:val="ListBullet"/>
      </w:pPr>
      <w:r>
        <w:t>DILG Memorandum Circular No. 2010-83, "Full Disclosure of Local Budget and Finances, and Bids and Public Offerings", as amended by MC No. 2011-134. https://region12.dilg.gov.ph/issuances/amending-dilg-memorandum-circular-no-2010-083-series-2010-titled-full-disclosure-local-budget-and-finances-and</w:t>
      </w:r>
    </w:p>
    <w:p>
      <w:pPr>
        <w:pStyle w:val="ListBullet"/>
      </w:pPr>
      <w:r>
        <w:t>1987 Constitution, Art. III Sec. 7 (right to information on matters of public concern) and Art. II Sec. 28 (full public disclosure). https://www.officialgazette.gov.ph/constitutions/1987-constitution/</w:t>
      </w:r>
    </w:p>
    <w:p>
      <w:pPr>
        <w:pStyle w:val="ListBullet"/>
      </w:pPr>
      <w:r>
        <w:t>Republic Act No. 12009, New Government Procurement Act (signed July 20, 2024; effective Aug 13, 2024), incl. Sec. 43 on observers from COA, private groups and CSOs. https://lawphil.net/statutes/repacts/ra2024/ra_12009_2024.html</w:t>
      </w:r>
    </w:p>
    <w:p>
      <w:r>
        <w:rPr>
          <w:sz w:val="16"/>
        </w:rPr>
        <w:t>Template from the lovethephilippines.com Open Data &amp; Transparency Kit (https://lovethephilippines.com/open). Free to copy and adapt (CC BY 4.0). Not legal advice; check the latest issuances with DILG, GPPB or your LGU legal officer. Record what the documents show; differences are questions to ask, not proof of wrongdoing.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